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67" w:type="dxa"/>
        <w:tblInd w:w="93" w:type="dxa"/>
        <w:tblLook w:val="04A0" w:firstRow="1" w:lastRow="0" w:firstColumn="1" w:lastColumn="0" w:noHBand="0" w:noVBand="1"/>
      </w:tblPr>
      <w:tblGrid>
        <w:gridCol w:w="14967"/>
      </w:tblGrid>
      <w:tr w:rsidR="002D0ED4" w:rsidTr="002D0ED4">
        <w:trPr>
          <w:trHeight w:val="510"/>
        </w:trPr>
        <w:tc>
          <w:tcPr>
            <w:tcW w:w="1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ED4" w:rsidRDefault="002D0ED4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Форма 2</w:t>
            </w:r>
          </w:p>
        </w:tc>
      </w:tr>
      <w:tr w:rsidR="002D0ED4" w:rsidTr="002D0ED4">
        <w:trPr>
          <w:trHeight w:val="375"/>
        </w:trPr>
        <w:tc>
          <w:tcPr>
            <w:tcW w:w="1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D4" w:rsidRDefault="002D0ED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Выполнение мероприятий муниципальной программы</w:t>
            </w:r>
          </w:p>
        </w:tc>
      </w:tr>
      <w:tr w:rsidR="002D0ED4" w:rsidTr="002D0ED4">
        <w:trPr>
          <w:trHeight w:val="803"/>
        </w:trPr>
        <w:tc>
          <w:tcPr>
            <w:tcW w:w="1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ED4" w:rsidRDefault="002D0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системы образования в </w:t>
            </w:r>
            <w:proofErr w:type="spellStart"/>
            <w:r>
              <w:rPr>
                <w:sz w:val="28"/>
                <w:szCs w:val="28"/>
              </w:rPr>
              <w:t>Пышминском</w:t>
            </w:r>
            <w:proofErr w:type="spellEnd"/>
            <w:r>
              <w:rPr>
                <w:sz w:val="28"/>
                <w:szCs w:val="28"/>
              </w:rPr>
              <w:t xml:space="preserve"> городском округе до 2028 года»</w:t>
            </w:r>
          </w:p>
        </w:tc>
      </w:tr>
      <w:tr w:rsidR="002D0ED4" w:rsidTr="002D0ED4">
        <w:trPr>
          <w:trHeight w:val="540"/>
        </w:trPr>
        <w:tc>
          <w:tcPr>
            <w:tcW w:w="1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ED4" w:rsidRDefault="002D0E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IV квартал 2024  г. (отчётный период)</w:t>
            </w:r>
          </w:p>
        </w:tc>
      </w:tr>
    </w:tbl>
    <w:p w:rsidR="004A5FEC" w:rsidRDefault="004A5FEC" w:rsidP="002D0ED4">
      <w:pPr>
        <w:spacing w:after="0" w:line="240" w:lineRule="auto"/>
      </w:pPr>
    </w:p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6"/>
        <w:gridCol w:w="4419"/>
        <w:gridCol w:w="2415"/>
        <w:gridCol w:w="2460"/>
        <w:gridCol w:w="1891"/>
        <w:gridCol w:w="2756"/>
      </w:tblGrid>
      <w:tr w:rsidR="002D0ED4" w:rsidTr="002D0ED4">
        <w:tc>
          <w:tcPr>
            <w:tcW w:w="1026" w:type="dxa"/>
            <w:vMerge w:val="restart"/>
            <w:shd w:val="clear" w:color="auto" w:fill="auto"/>
            <w:hideMark/>
          </w:tcPr>
          <w:p w:rsidR="002D0ED4" w:rsidRDefault="002D0E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4419" w:type="dxa"/>
            <w:vMerge w:val="restart"/>
            <w:shd w:val="clear" w:color="auto" w:fill="auto"/>
            <w:hideMark/>
          </w:tcPr>
          <w:p w:rsidR="002D0ED4" w:rsidRDefault="002D0E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6766" w:type="dxa"/>
            <w:gridSpan w:val="3"/>
            <w:shd w:val="clear" w:color="auto" w:fill="auto"/>
            <w:hideMark/>
          </w:tcPr>
          <w:p w:rsidR="002D0ED4" w:rsidRDefault="002D0E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расходов на выполнение мероприятия, тыс. рублей</w:t>
            </w:r>
          </w:p>
        </w:tc>
        <w:tc>
          <w:tcPr>
            <w:tcW w:w="2756" w:type="dxa"/>
            <w:vMerge w:val="restart"/>
            <w:shd w:val="clear" w:color="auto" w:fill="auto"/>
            <w:hideMark/>
          </w:tcPr>
          <w:p w:rsidR="002D0ED4" w:rsidRDefault="002D0E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Причины отклонения от планового значения</w:t>
            </w:r>
          </w:p>
        </w:tc>
      </w:tr>
      <w:tr w:rsidR="002D0ED4" w:rsidTr="002D0ED4">
        <w:tc>
          <w:tcPr>
            <w:tcW w:w="1026" w:type="dxa"/>
            <w:vMerge/>
            <w:vAlign w:val="center"/>
            <w:hideMark/>
          </w:tcPr>
          <w:p w:rsidR="002D0ED4" w:rsidRDefault="002D0E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9" w:type="dxa"/>
            <w:vMerge/>
            <w:vAlign w:val="center"/>
            <w:hideMark/>
          </w:tcPr>
          <w:p w:rsidR="002D0ED4" w:rsidRDefault="002D0E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процент выполнения</w:t>
            </w:r>
          </w:p>
        </w:tc>
        <w:tc>
          <w:tcPr>
            <w:tcW w:w="2756" w:type="dxa"/>
            <w:vMerge/>
            <w:vAlign w:val="center"/>
            <w:hideMark/>
          </w:tcPr>
          <w:p w:rsidR="002D0ED4" w:rsidRDefault="002D0ED4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2D0ED4" w:rsidRDefault="002D0ED4"/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6"/>
        <w:gridCol w:w="4419"/>
        <w:gridCol w:w="2415"/>
        <w:gridCol w:w="2460"/>
        <w:gridCol w:w="1891"/>
        <w:gridCol w:w="2756"/>
      </w:tblGrid>
      <w:tr w:rsidR="002D0ED4" w:rsidTr="002D0ED4">
        <w:trPr>
          <w:tblHeader/>
        </w:trPr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1 048 861,74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1 016 543,47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96,92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37 046,71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35 264,87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95,19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509 275,40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502 627,48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98,69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477 399,00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455 739,15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95,46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25 140,63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22 911,97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91,14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1 048 861,74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1 016 543,47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96,92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37 046,71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35 264,87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95,19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509 275,40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502 627,48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98,69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477 399,00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455 739,15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95,46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25 140,63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22 911,97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91,14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1. Развитие системы дошкольного образования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Пышминском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269 067,47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267 949,48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99,58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  РАЗВИТИЕ СИСТЕМЫ ДОШКОЛЬНОГО ОБРАЗОВАНИЯ В ПЫШМИНСКОМ ГОРОДСКОМ ОКРУГЕ, В ТОМ ЧИСЛЕ: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269 067,47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267 949,48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99,58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141 502,80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141 502,80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115 884,53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115 884,53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11 680,14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10 562,15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90,43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269 067,47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267 949,48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99,58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141 502,80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141 502,80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115 884,53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115 884,53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11 680,14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10 562,15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90,43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1.1.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141 339,67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141 339,67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141 339,67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141 339,67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1.2. Реализация проекта "Педагогические кадры" в том числе обучение педагогов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163,13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163,13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163,13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163,13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1.3. 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организациях,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127 514,67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126 396,68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99,12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115 834,53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115 834,53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11 680,14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10 562,15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90,43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суммы завышены учреждениями и не уточнены в конце года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1.4. "Совершенствование работы с талантливыми детьми через конкурсы, фестивали"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2.  Развитие системы общего образования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Пышминском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634 788,44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606 774,59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95,59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   РАЗВИТИЕ СИСТЕМЫ ОБЩЕГО ОБРАЗОВАНИЯ В ПЫШМИНСКОМ ГОРОДСКОМ ОКРУГЕ, В ТОМ ЧИСЛЕ: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634 788,44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606 774,59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95,59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37 046,71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35 264,87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95,19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354 095,60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347 519,22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98,14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230 788,64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212 071,40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91,89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12 857,49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11 919,10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92,70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 по направлению «Прочие нужды», в том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634 788,44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606 774,59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95,59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37 046,71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35 264,87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95,19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354 095,60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347 519,22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98,14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230 788,64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212 071,40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91,89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12 857,49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11 919,10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92,70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2.1. Обеспечение государственных гарантий прав граждан на получение общего образования в муниципальных общеобразовательных организациях,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329 418,34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329 418,34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329 418,34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329 418,34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2.2. Реализация проекта "Педагогические кадры", в том числе обучение педагогов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437,56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437,56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437,56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437,56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2.3. Организация предоставления общего образования и создание условий для содержания детей в муниципальных общеобразовательных организациях,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180 812,43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179 874,04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99,48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167 954,94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167 954,94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12 857,49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11 919,10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суммы завышены учреждениями и не уточнены в конце года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2.4. "Совершенствование работы с талантливыми детьми через конкурсы, фестивали"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2.5. Организация питания в школьных столовых,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22 032,52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15 456,14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70,15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22 032,52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15 456,14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70,15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Больничные</w:t>
            </w:r>
            <w:proofErr w:type="gramEnd"/>
            <w:r>
              <w:rPr>
                <w:sz w:val="20"/>
                <w:szCs w:val="20"/>
              </w:rPr>
              <w:t xml:space="preserve"> детей, карантин в конце года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2.7. Осуществление мероприятий на выплату денежной компенсации родителям (законным представителям) обучающихся с ограниченными возможностями здоровья, в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том числе дете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й-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инвалидов, в муниципальных образовательных организациях, осваивающих основные общеобразовательные программы на дому,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789,48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789,48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789,48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789,48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2.8.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22 122,03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21 940,69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99,18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22 122,03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21 940,69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99,18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Больничные</w:t>
            </w:r>
            <w:proofErr w:type="gramEnd"/>
            <w:r>
              <w:rPr>
                <w:sz w:val="20"/>
                <w:szCs w:val="20"/>
              </w:rPr>
              <w:t xml:space="preserve"> классных руководителей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2.9.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11 608,10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10 028,86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86,40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11 608,10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10 028,86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86,40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Больничные</w:t>
            </w:r>
            <w:proofErr w:type="gramEnd"/>
            <w:r>
              <w:rPr>
                <w:sz w:val="20"/>
                <w:szCs w:val="20"/>
              </w:rPr>
              <w:t xml:space="preserve"> в конце года у детей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2.10. Создание в муниципальных общеобразовательных организациях условий для организации горячего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питания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обучающихся,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2 835,40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2 835,40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1 417,70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1 417,70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1 417,70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1 417,70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2.11. Оснащение начальной школы на 400 мест,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61 366,00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42 648,76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69,50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61 366,00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42 648,76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69,50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контрактов на некоторые виды работ было невозможно в связи со сроками поставки и изготовления.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2.13.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3 047,08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3 047,08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3 047,08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3 047,08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2.14. Обеспечение выплат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организаций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асположенных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на территории Свердловской области, на условиях софинансирования из федерального бюджета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269,50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248,24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92,11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269,50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248,24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92,11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Экономия случилась в связи с тем, что 2 месяца не могли найти специалиста.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3. Развитие системы дополнительного образования, отдыха и оздоровления детей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Пышминском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78 292,37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77 256,39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98,68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  РАЗВИТИЕ СИСТЕМЫ ДОПОЛНИТЕЛЬНОГО ОБРАЗОВАНИЯ, ОТДЫХА И ОЗДОРОВЛЕНИЯ ДЕТЕЙ В ПЫШМИНСКОМ ГОРОДСКОМ ОКРУГЕ, В ТОМ ЧИСЛЕ: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78 292,37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77 256,39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98,68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13 632,20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13 560,66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99,48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64 057,17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63 265,01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98,76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603,00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430,72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71,43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78 292,37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77 256,39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98,68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13 632,20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13 560,66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99,48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64 057,17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63 265,01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98,76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603,00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430,72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71,43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3.1. Организация предоставления дополнительного образования детей в муниципальных организациях дополнительного образования,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46 806,17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46 669,27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99,71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46 806,17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46 669,27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99,71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3.1.-. Субсидии бюджетным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 услуг (выполнение работ)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17 667,20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17 667,20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3.1.-. 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29 002,07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29 002,07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17 667,20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17 667,20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29 002,07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29 002,07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3.1.1. Субсидии бюджетным учреждениям на иные цели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136,90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136,90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были перемещены в конце года, израсходовать не было возможности.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3.1-1. Организация предоставления дополнительного образования детей в муниципальных организациях дополнительного образования (обеспечение деятельности для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спортподготовки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),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6 871,60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6 871,60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6 871,60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6 871,60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3.1-2. Организация предоставления дополнительного образования детей в муниципальных организациях дополнительного образования,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301,50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301,50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3.2. Обеспечение организации отдыха детей в каникулярное время, включая мероприятия по обеспечению безопасности их жизни и здоровья, 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15 986,78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15 212,53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95,16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7 799,30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7 799,30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7 885,98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7 284,01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92,37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Перемещение на выполнение целевого показателя было </w:t>
            </w:r>
            <w:r>
              <w:rPr>
                <w:sz w:val="20"/>
                <w:szCs w:val="20"/>
              </w:rPr>
              <w:lastRenderedPageBreak/>
              <w:t xml:space="preserve">сформировано с 03.09.2024, но решение Думы Пышминского городского округа было только подписано 18.12.2024, </w:t>
            </w:r>
            <w:proofErr w:type="spellStart"/>
            <w:r>
              <w:rPr>
                <w:sz w:val="20"/>
                <w:szCs w:val="20"/>
              </w:rPr>
              <w:t>соотвенно</w:t>
            </w:r>
            <w:proofErr w:type="spellEnd"/>
            <w:r>
              <w:rPr>
                <w:sz w:val="20"/>
                <w:szCs w:val="20"/>
              </w:rPr>
              <w:t xml:space="preserve"> невыполнение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129,22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42,86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 запланировано лимитов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3.3. Организация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920,50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920,50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920,50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920,50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3.4. Обеспечение персонифицированного финансирования дополнительного образования детей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2 493,42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2 440,13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97,86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2 493,42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2 440,13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97,86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3.4.-. 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2 493,42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2 440,13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97,86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2 493,42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2 440,13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97,86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Суммы по реестрам (сертификатам) получились меньше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3.6. Обеспечение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побережье Черного моря"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1 827,40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1 827,40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1 827,40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1 827,40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3.7. Обеспечение осуществления оплаты труда работников муниципальных организаций дополнительного образования и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муниципальных образовательных организаций высшего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образования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с учетом установленных указами Президента Российской Федерации показателей соотношения заработной платы для данных категорий работников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3 085,00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3 013,46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97,68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3 085,00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3 013,46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97,68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Численность педагогов не соответствует </w:t>
            </w:r>
            <w:proofErr w:type="gramStart"/>
            <w:r>
              <w:rPr>
                <w:sz w:val="20"/>
                <w:szCs w:val="20"/>
              </w:rPr>
              <w:t>выделенным</w:t>
            </w:r>
            <w:proofErr w:type="gramEnd"/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4. Патриотическое воспитание граждан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Пышминском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29,60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29,60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  ПАТРИОТИЧЕСКОЕ ВОСПИТАНИЕ ГРАЖДАН В ПЫШМИНСКОМ ГОРОДСКОМ ОКРУГЕ, В ТОМ ЧИСЛЕ: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29,60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29,60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29,60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29,60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4.2. Организация военно-патриотического воспитания и допризывной подготовки молодых граждан,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29,60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29,60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5. Укрепление и развитие материально-технической базы образовательных организаций Пышминского городского округа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41 068,21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40 083,96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  УКРЕПЛЕНИЕ И РАЗВИТИЕ МАТЕРИАЛЬНО-ТЕХНИЧЕСКОЙ БАЗЫ ОБРАЗОВАТЕЛЬНЫХ ОРГАНИЗАЦИЙ ПЫШМИНСКОГО ГОРОДСКОГО ОКРУГА, В ТОМ ЧИСЛЕ: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41 068,21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40 083,96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41 068,21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40 083,96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97,60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 по направлению «Прочие нужды», в том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41 068,21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40 083,96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115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41 068,21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40 083,96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97,60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5.1. Соблюдение мер на укрепление антитеррористической 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противодеверсионной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защищенности учреждений,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1 482,00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1 482,00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1 482,00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1 482,00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5.9.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Мероприятия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направленные на устранение нарушений, выявленных органами государственного надзора в результате проверок в муниципальных  организациях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15 034,73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15 034,73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15 034,73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15 034,73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5.12.  Проведение ремонтных работ и приведение в соответствие с требованиями надзорных органов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24 551,48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23 567,23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95,99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24 551,48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23 567,23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95,99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Невыполнение связано с поздним решением Думы Пышминского городского </w:t>
            </w:r>
            <w:proofErr w:type="gramStart"/>
            <w:r>
              <w:rPr>
                <w:sz w:val="20"/>
                <w:szCs w:val="20"/>
              </w:rPr>
              <w:t>округа</w:t>
            </w:r>
            <w:proofErr w:type="gramEnd"/>
            <w:r>
              <w:rPr>
                <w:sz w:val="20"/>
                <w:szCs w:val="20"/>
              </w:rPr>
              <w:t xml:space="preserve"> когда нет возможности выполнить данные виды работ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7. «Обеспечение реализации муниципальной программы Пышминского городского округа «Развитие системы образования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Пышминском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 до 2028 года»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25 442,45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24 276,25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95,42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  «ОБЕСПЕЧЕНИЕ РЕАЛИЗАЦИИ МУНИЦИПАЛЬНОЙ ПРОГРАММЫ ПЫШМИНСКОГО ГОРОДСКОГО ОКРУГА «РАЗВИТИЕ СИСТЕМЫ ОБРАЗОВАНИЯ В ПЫШМИНСКОМ ГОРОДСКОМ ОКРУГЕ ДО 2028 ГОДА», В ТОМ ЧИСЛЕ: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25 442,45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24 276,25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95,42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25 442,45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24 276,25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95,42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25 442,45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24 276,25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95,42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25 442,45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24 276,25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95,42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127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7.1. Обеспечение реализации муниципальной программы,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25 442,45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24 276,25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95,42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25 442,45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24 276,25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95,42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Перемещение по статьям было не возможно в связи с тем, что решение Думы Пышминского городского округа не было подписано.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8. Молодежь Пышминского городского округа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173,20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173,20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  МОЛОДЕЖЬ ПЫШМИНСКОГО ГОРОДСКОГО ОКРУГА, В ТОМ ЧИСЛЕ: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173,20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173,20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40,20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40,20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133,00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133,00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173,20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173,20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40,20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40,20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133,00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133,00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8.1. Общие мероприятия молодёжной политики,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78,00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78,00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19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8.2. Создание и обеспечение деятельности молодежных "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коворкинг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-центров", всего, из них:</w:t>
            </w:r>
          </w:p>
        </w:tc>
        <w:tc>
          <w:tcPr>
            <w:tcW w:w="2415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95,20</w:t>
            </w:r>
          </w:p>
        </w:tc>
        <w:tc>
          <w:tcPr>
            <w:tcW w:w="2460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95,20</w:t>
            </w:r>
          </w:p>
        </w:tc>
        <w:tc>
          <w:tcPr>
            <w:tcW w:w="1891" w:type="dxa"/>
            <w:shd w:val="clear" w:color="000000" w:fill="FFFFFF"/>
            <w:hideMark/>
          </w:tcPr>
          <w:p w:rsidR="002D0ED4" w:rsidRDefault="002D0E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000000" w:fill="FFFFFF"/>
            <w:hideMark/>
          </w:tcPr>
          <w:p w:rsidR="002D0ED4" w:rsidRDefault="002D0ED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0ED4" w:rsidTr="002D0ED4">
        <w:tc>
          <w:tcPr>
            <w:tcW w:w="102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4419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415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  <w:tc>
          <w:tcPr>
            <w:tcW w:w="2460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  <w:tc>
          <w:tcPr>
            <w:tcW w:w="1891" w:type="dxa"/>
            <w:shd w:val="clear" w:color="auto" w:fill="auto"/>
            <w:hideMark/>
          </w:tcPr>
          <w:p w:rsidR="002D0ED4" w:rsidRDefault="002D0E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756" w:type="dxa"/>
            <w:shd w:val="clear" w:color="auto" w:fill="auto"/>
            <w:hideMark/>
          </w:tcPr>
          <w:p w:rsidR="002D0ED4" w:rsidRDefault="002D0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2D0ED4" w:rsidRDefault="002D0ED4" w:rsidP="002D0ED4">
      <w:pPr>
        <w:spacing w:after="0" w:line="240" w:lineRule="auto"/>
      </w:pPr>
    </w:p>
    <w:tbl>
      <w:tblPr>
        <w:tblW w:w="131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3880"/>
        <w:gridCol w:w="2120"/>
        <w:gridCol w:w="2160"/>
        <w:gridCol w:w="1660"/>
        <w:gridCol w:w="2420"/>
      </w:tblGrid>
      <w:tr w:rsidR="002D0ED4" w:rsidTr="002D0ED4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</w:tr>
      <w:tr w:rsidR="002D0ED4" w:rsidTr="002D0ED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</w:tr>
      <w:tr w:rsidR="002D0ED4" w:rsidTr="002D0ED4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2"/>
              </w:rPr>
            </w:pPr>
            <w:r>
              <w:rPr>
                <w:sz w:val="22"/>
              </w:rPr>
              <w:t>Ответственный исполнитель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2"/>
              </w:rPr>
            </w:pPr>
            <w:r>
              <w:rPr>
                <w:sz w:val="22"/>
              </w:rPr>
              <w:t>_______________ /___________________________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</w:tr>
      <w:tr w:rsidR="002D0ED4" w:rsidTr="002D0ED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(подпись)                             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</w:tr>
      <w:tr w:rsidR="002D0ED4" w:rsidTr="002D0ED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</w:tr>
      <w:tr w:rsidR="002D0ED4" w:rsidTr="002D0ED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</w:tr>
      <w:tr w:rsidR="002D0ED4" w:rsidTr="002D0ED4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2"/>
              </w:rPr>
            </w:pPr>
            <w:r>
              <w:rPr>
                <w:sz w:val="22"/>
              </w:rPr>
              <w:t xml:space="preserve">Руководитель финансового органа                                                                                                    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2"/>
              </w:rPr>
            </w:pPr>
            <w:r>
              <w:rPr>
                <w:sz w:val="22"/>
              </w:rPr>
              <w:t>_______________ /___________________________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</w:tr>
      <w:tr w:rsidR="002D0ED4" w:rsidTr="002D0ED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(подпись)                             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0ED4" w:rsidRDefault="002D0ED4">
            <w:pPr>
              <w:rPr>
                <w:sz w:val="20"/>
                <w:szCs w:val="20"/>
              </w:rPr>
            </w:pPr>
          </w:p>
        </w:tc>
      </w:tr>
    </w:tbl>
    <w:p w:rsidR="002D0ED4" w:rsidRDefault="002D0ED4" w:rsidP="002D0ED4">
      <w:pPr>
        <w:spacing w:after="0" w:line="240" w:lineRule="auto"/>
      </w:pPr>
    </w:p>
    <w:sectPr w:rsidR="002D0ED4" w:rsidSect="002D0ED4">
      <w:pgSz w:w="16838" w:h="11906" w:orient="landscape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ED4"/>
    <w:rsid w:val="002D0ED4"/>
    <w:rsid w:val="004A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0E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0ED4"/>
    <w:rPr>
      <w:color w:val="800080"/>
      <w:u w:val="single"/>
    </w:rPr>
  </w:style>
  <w:style w:type="paragraph" w:customStyle="1" w:styleId="xl124">
    <w:name w:val="xl124"/>
    <w:basedOn w:val="a"/>
    <w:rsid w:val="002D0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D0E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2D0E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7">
    <w:name w:val="xl127"/>
    <w:basedOn w:val="a"/>
    <w:rsid w:val="002D0ED4"/>
    <w:pPr>
      <w:spacing w:before="100" w:beforeAutospacing="1" w:after="100" w:afterAutospacing="1" w:line="240" w:lineRule="auto"/>
      <w:contextualSpacing w:val="0"/>
    </w:pPr>
    <w:rPr>
      <w:rFonts w:eastAsia="Times New Roman"/>
      <w:sz w:val="24"/>
      <w:szCs w:val="24"/>
      <w:lang w:eastAsia="ru-RU"/>
    </w:rPr>
  </w:style>
  <w:style w:type="paragraph" w:customStyle="1" w:styleId="xl128">
    <w:name w:val="xl128"/>
    <w:basedOn w:val="a"/>
    <w:rsid w:val="002D0ED4"/>
    <w:pPr>
      <w:spacing w:before="100" w:beforeAutospacing="1" w:after="100" w:afterAutospacing="1" w:line="240" w:lineRule="auto"/>
      <w:contextualSpacing w:val="0"/>
    </w:pPr>
    <w:rPr>
      <w:rFonts w:eastAsia="Times New Roman"/>
      <w:sz w:val="24"/>
      <w:szCs w:val="24"/>
      <w:lang w:eastAsia="ru-RU"/>
    </w:rPr>
  </w:style>
  <w:style w:type="paragraph" w:customStyle="1" w:styleId="xl129">
    <w:name w:val="xl129"/>
    <w:basedOn w:val="a"/>
    <w:rsid w:val="002D0ED4"/>
    <w:pPr>
      <w:spacing w:before="100" w:beforeAutospacing="1" w:after="100" w:afterAutospacing="1" w:line="240" w:lineRule="auto"/>
      <w:contextualSpacing w:val="0"/>
    </w:pPr>
    <w:rPr>
      <w:rFonts w:eastAsia="Times New Roman"/>
      <w:sz w:val="24"/>
      <w:szCs w:val="24"/>
      <w:lang w:eastAsia="ru-RU"/>
    </w:rPr>
  </w:style>
  <w:style w:type="paragraph" w:customStyle="1" w:styleId="xl130">
    <w:name w:val="xl130"/>
    <w:basedOn w:val="a"/>
    <w:rsid w:val="002D0E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31">
    <w:name w:val="xl131"/>
    <w:basedOn w:val="a"/>
    <w:rsid w:val="002D0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2D0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2D0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2D0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2D0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2D0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2D0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0E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0ED4"/>
    <w:rPr>
      <w:color w:val="800080"/>
      <w:u w:val="single"/>
    </w:rPr>
  </w:style>
  <w:style w:type="paragraph" w:customStyle="1" w:styleId="xl124">
    <w:name w:val="xl124"/>
    <w:basedOn w:val="a"/>
    <w:rsid w:val="002D0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D0E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2D0E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7">
    <w:name w:val="xl127"/>
    <w:basedOn w:val="a"/>
    <w:rsid w:val="002D0ED4"/>
    <w:pPr>
      <w:spacing w:before="100" w:beforeAutospacing="1" w:after="100" w:afterAutospacing="1" w:line="240" w:lineRule="auto"/>
      <w:contextualSpacing w:val="0"/>
    </w:pPr>
    <w:rPr>
      <w:rFonts w:eastAsia="Times New Roman"/>
      <w:sz w:val="24"/>
      <w:szCs w:val="24"/>
      <w:lang w:eastAsia="ru-RU"/>
    </w:rPr>
  </w:style>
  <w:style w:type="paragraph" w:customStyle="1" w:styleId="xl128">
    <w:name w:val="xl128"/>
    <w:basedOn w:val="a"/>
    <w:rsid w:val="002D0ED4"/>
    <w:pPr>
      <w:spacing w:before="100" w:beforeAutospacing="1" w:after="100" w:afterAutospacing="1" w:line="240" w:lineRule="auto"/>
      <w:contextualSpacing w:val="0"/>
    </w:pPr>
    <w:rPr>
      <w:rFonts w:eastAsia="Times New Roman"/>
      <w:sz w:val="24"/>
      <w:szCs w:val="24"/>
      <w:lang w:eastAsia="ru-RU"/>
    </w:rPr>
  </w:style>
  <w:style w:type="paragraph" w:customStyle="1" w:styleId="xl129">
    <w:name w:val="xl129"/>
    <w:basedOn w:val="a"/>
    <w:rsid w:val="002D0ED4"/>
    <w:pPr>
      <w:spacing w:before="100" w:beforeAutospacing="1" w:after="100" w:afterAutospacing="1" w:line="240" w:lineRule="auto"/>
      <w:contextualSpacing w:val="0"/>
    </w:pPr>
    <w:rPr>
      <w:rFonts w:eastAsia="Times New Roman"/>
      <w:sz w:val="24"/>
      <w:szCs w:val="24"/>
      <w:lang w:eastAsia="ru-RU"/>
    </w:rPr>
  </w:style>
  <w:style w:type="paragraph" w:customStyle="1" w:styleId="xl130">
    <w:name w:val="xl130"/>
    <w:basedOn w:val="a"/>
    <w:rsid w:val="002D0E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31">
    <w:name w:val="xl131"/>
    <w:basedOn w:val="a"/>
    <w:rsid w:val="002D0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2D0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2D0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2D0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2D0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2D0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2D0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4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2269</Words>
  <Characters>12937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2025-01-22T11:47:00Z</dcterms:created>
  <dcterms:modified xsi:type="dcterms:W3CDTF">2025-01-22T11:47:00Z</dcterms:modified>
</cp:coreProperties>
</file>