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67" w:type="dxa"/>
        <w:tblInd w:w="93" w:type="dxa"/>
        <w:tblLook w:val="04A0" w:firstRow="1" w:lastRow="0" w:firstColumn="1" w:lastColumn="0" w:noHBand="0" w:noVBand="1"/>
      </w:tblPr>
      <w:tblGrid>
        <w:gridCol w:w="14967"/>
      </w:tblGrid>
      <w:tr w:rsidR="007579C4" w:rsidTr="007579C4">
        <w:trPr>
          <w:trHeight w:val="375"/>
        </w:trPr>
        <w:tc>
          <w:tcPr>
            <w:tcW w:w="1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9C4" w:rsidRDefault="007579C4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>ОТЧЕТ</w:t>
            </w:r>
          </w:p>
        </w:tc>
      </w:tr>
      <w:tr w:rsidR="007579C4" w:rsidTr="007579C4">
        <w:trPr>
          <w:trHeight w:val="375"/>
        </w:trPr>
        <w:tc>
          <w:tcPr>
            <w:tcW w:w="1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9C4" w:rsidRDefault="007579C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 реализации муниципальной программы</w:t>
            </w:r>
          </w:p>
        </w:tc>
      </w:tr>
      <w:tr w:rsidR="007579C4" w:rsidTr="007579C4">
        <w:trPr>
          <w:trHeight w:val="810"/>
        </w:trPr>
        <w:tc>
          <w:tcPr>
            <w:tcW w:w="1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9C4" w:rsidRDefault="00757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системы образования в </w:t>
            </w:r>
            <w:proofErr w:type="spellStart"/>
            <w:r>
              <w:rPr>
                <w:sz w:val="28"/>
                <w:szCs w:val="28"/>
              </w:rPr>
              <w:t>Пышминском</w:t>
            </w:r>
            <w:proofErr w:type="spellEnd"/>
            <w:r>
              <w:rPr>
                <w:sz w:val="28"/>
                <w:szCs w:val="28"/>
              </w:rPr>
              <w:t xml:space="preserve"> городском округе до 2028 года»</w:t>
            </w:r>
          </w:p>
        </w:tc>
      </w:tr>
      <w:tr w:rsidR="007579C4" w:rsidTr="007579C4">
        <w:trPr>
          <w:trHeight w:val="615"/>
        </w:trPr>
        <w:tc>
          <w:tcPr>
            <w:tcW w:w="1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9C4" w:rsidRDefault="00757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1</w:t>
            </w:r>
          </w:p>
        </w:tc>
      </w:tr>
      <w:tr w:rsidR="007579C4" w:rsidTr="007579C4">
        <w:trPr>
          <w:trHeight w:val="510"/>
        </w:trPr>
        <w:tc>
          <w:tcPr>
            <w:tcW w:w="1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9C4" w:rsidRDefault="007579C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Достижение целевых показателей муниципальной программы за IV квартал 2024  г. (отчётный период)</w:t>
            </w:r>
          </w:p>
        </w:tc>
      </w:tr>
    </w:tbl>
    <w:p w:rsidR="00CE42A4" w:rsidRDefault="00CE42A4" w:rsidP="007579C4">
      <w:pPr>
        <w:spacing w:after="0" w:line="240" w:lineRule="auto"/>
      </w:pPr>
    </w:p>
    <w:tbl>
      <w:tblPr>
        <w:tblW w:w="14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0"/>
        <w:gridCol w:w="1020"/>
        <w:gridCol w:w="3882"/>
        <w:gridCol w:w="1401"/>
        <w:gridCol w:w="2121"/>
        <w:gridCol w:w="2161"/>
        <w:gridCol w:w="1661"/>
        <w:gridCol w:w="1821"/>
      </w:tblGrid>
      <w:tr w:rsidR="007579C4" w:rsidTr="007579C4">
        <w:tc>
          <w:tcPr>
            <w:tcW w:w="900" w:type="dxa"/>
            <w:vMerge w:val="restart"/>
            <w:shd w:val="clear" w:color="auto" w:fill="auto"/>
            <w:hideMark/>
          </w:tcPr>
          <w:p w:rsidR="007579C4" w:rsidRDefault="007579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1020" w:type="dxa"/>
            <w:vMerge w:val="restart"/>
            <w:shd w:val="clear" w:color="auto" w:fill="auto"/>
            <w:hideMark/>
          </w:tcPr>
          <w:p w:rsidR="007579C4" w:rsidRDefault="007579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цели, задачи и </w:t>
            </w:r>
            <w:proofErr w:type="gramStart"/>
            <w:r>
              <w:rPr>
                <w:b/>
                <w:bCs/>
                <w:sz w:val="20"/>
                <w:szCs w:val="20"/>
              </w:rPr>
              <w:t>целевого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показа-теля</w:t>
            </w:r>
          </w:p>
        </w:tc>
        <w:tc>
          <w:tcPr>
            <w:tcW w:w="3882" w:type="dxa"/>
            <w:vMerge w:val="restart"/>
            <w:shd w:val="clear" w:color="auto" w:fill="auto"/>
            <w:hideMark/>
          </w:tcPr>
          <w:p w:rsidR="007579C4" w:rsidRDefault="007579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Цели, задачи и целевые показатели</w:t>
            </w:r>
          </w:p>
        </w:tc>
        <w:tc>
          <w:tcPr>
            <w:tcW w:w="1401" w:type="dxa"/>
            <w:vMerge w:val="restart"/>
            <w:shd w:val="clear" w:color="auto" w:fill="auto"/>
            <w:hideMark/>
          </w:tcPr>
          <w:p w:rsidR="007579C4" w:rsidRDefault="007579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4282" w:type="dxa"/>
            <w:gridSpan w:val="2"/>
            <w:shd w:val="clear" w:color="auto" w:fill="auto"/>
            <w:hideMark/>
          </w:tcPr>
          <w:p w:rsidR="007579C4" w:rsidRDefault="007579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Значение целевого показателя</w:t>
            </w:r>
          </w:p>
        </w:tc>
        <w:tc>
          <w:tcPr>
            <w:tcW w:w="1661" w:type="dxa"/>
            <w:vMerge w:val="restart"/>
            <w:shd w:val="clear" w:color="auto" w:fill="auto"/>
            <w:hideMark/>
          </w:tcPr>
          <w:p w:rsidR="007579C4" w:rsidRDefault="007579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Процент выполнения</w:t>
            </w:r>
          </w:p>
        </w:tc>
        <w:tc>
          <w:tcPr>
            <w:tcW w:w="1821" w:type="dxa"/>
            <w:vMerge w:val="restart"/>
            <w:shd w:val="clear" w:color="auto" w:fill="auto"/>
            <w:hideMark/>
          </w:tcPr>
          <w:p w:rsidR="007579C4" w:rsidRDefault="007579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Причины отклонения от планового значения</w:t>
            </w:r>
          </w:p>
        </w:tc>
      </w:tr>
      <w:tr w:rsidR="007579C4" w:rsidTr="007579C4">
        <w:tc>
          <w:tcPr>
            <w:tcW w:w="900" w:type="dxa"/>
            <w:vMerge/>
            <w:vAlign w:val="center"/>
            <w:hideMark/>
          </w:tcPr>
          <w:p w:rsidR="007579C4" w:rsidRDefault="007579C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vAlign w:val="center"/>
            <w:hideMark/>
          </w:tcPr>
          <w:p w:rsidR="007579C4" w:rsidRDefault="007579C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82" w:type="dxa"/>
            <w:vMerge/>
            <w:vAlign w:val="center"/>
            <w:hideMark/>
          </w:tcPr>
          <w:p w:rsidR="007579C4" w:rsidRDefault="007579C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1" w:type="dxa"/>
            <w:vMerge/>
            <w:vAlign w:val="center"/>
            <w:hideMark/>
          </w:tcPr>
          <w:p w:rsidR="007579C4" w:rsidRDefault="007579C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661" w:type="dxa"/>
            <w:vMerge/>
            <w:vAlign w:val="center"/>
            <w:hideMark/>
          </w:tcPr>
          <w:p w:rsidR="007579C4" w:rsidRDefault="007579C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21" w:type="dxa"/>
            <w:vMerge/>
            <w:vAlign w:val="center"/>
            <w:hideMark/>
          </w:tcPr>
          <w:p w:rsidR="007579C4" w:rsidRDefault="007579C4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7579C4" w:rsidRDefault="007579C4"/>
    <w:tbl>
      <w:tblPr>
        <w:tblW w:w="14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0"/>
        <w:gridCol w:w="1020"/>
        <w:gridCol w:w="3882"/>
        <w:gridCol w:w="1401"/>
        <w:gridCol w:w="2121"/>
        <w:gridCol w:w="2161"/>
        <w:gridCol w:w="1661"/>
        <w:gridCol w:w="1821"/>
      </w:tblGrid>
      <w:tr w:rsidR="007579C4" w:rsidTr="007579C4">
        <w:trPr>
          <w:tblHeader/>
        </w:trPr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Подпрограмма 1. Развитие системы дошкольного образования в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Пышминском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городском округе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Цель 1. Достижение к 2021 году 100% доступности дошкольного образования для детей в возрасте от 2 месяцев до 3 лет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1.1.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Обеспеченность доступности дошкольного образования для детей в возрасте до 3 лет (отношение численности детей в возрасте от 2 месяцев              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</w:t>
            </w:r>
            <w:proofErr w:type="gramEnd"/>
            <w:r>
              <w:rPr>
                <w:sz w:val="20"/>
                <w:szCs w:val="20"/>
              </w:rPr>
              <w:t xml:space="preserve"> на получение в текущем году дошкольного образования)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среднемесячной заработной платы педагогических работников, реализующих программы дошкольного образования, - 100% к средней заработной плате работников сферы общего образования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100,08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100,1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1.2. Обеспечение педагогическими кадрами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1.2.3.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педагогических кадров в дошкольных учреждениях прошедших обучение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Задача 1.3. Обеспечение воспитания и обучения детей-инвалидов дошкольного возраста, проживающих в </w:t>
            </w:r>
            <w:proofErr w:type="spellStart"/>
            <w:r>
              <w:rPr>
                <w:color w:val="000000"/>
                <w:sz w:val="20"/>
                <w:szCs w:val="20"/>
              </w:rPr>
              <w:t>Пышминском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городском округе, на дому, в дошкольных образовательных организациях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1.3.4.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Охват детей-инвалидов дошкольного возраста, проживающих в </w:t>
            </w:r>
            <w:proofErr w:type="spellStart"/>
            <w:r>
              <w:rPr>
                <w:sz w:val="20"/>
                <w:szCs w:val="20"/>
              </w:rPr>
              <w:t>Пышминском</w:t>
            </w:r>
            <w:proofErr w:type="spellEnd"/>
            <w:r>
              <w:rPr>
                <w:sz w:val="20"/>
                <w:szCs w:val="20"/>
              </w:rPr>
              <w:t xml:space="preserve"> городском округе, обучением на дому, в дошкольных образовательных организациях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Подпрограмма 2.  Развитие системы общего образования в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Пышминском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городском округе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Цель 2. Обеспечение доступности качественного общего образования, соответствующего требованиям инновационного социально-экономического развития Пышминского городского округа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2.4. Обеспечение детей современными условиями при реализации государственного стандарта общего образования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2.4.5.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детей школьного возраста в муниципальных общеобразовательных учреждениях Пышминского городского округа образовательными услугами в рамках Государственного образовательного стандарта и Федерального государственного образовательного стандарта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2.4.6.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муниципальных образовательных организаций, реализующих инновационные образовательные программы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организации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2.4.49.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и установка недостающего оборудования в производственных помещениях столовых общеобразовательных организаций, необходимого для создания в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Организаций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133,3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2.5. Предоставление детям с ограниченными возможностями здоровья специального (коррекционного) образования в образовательных организациях для обучающихся, воспитанников с ограниченными возможностями здоровья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2.5.7.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Охват детей школьного возраста с ограниченными возможностями здоровья образовательными услугами </w:t>
            </w:r>
            <w:r>
              <w:rPr>
                <w:sz w:val="20"/>
                <w:szCs w:val="20"/>
              </w:rPr>
              <w:lastRenderedPageBreak/>
              <w:t>коррекционного образования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2.6. Осуществление мероприятий по организации питания в муниципальных общеобразовательных организациях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2.6.8.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организованным горячим питанием учащихся общеобразовательных организаций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102,1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2.6.38.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2.6.47.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получающих льготных категорий, указанных в статье 22 Закона Свердловской области от 15 июля 2013 года №78-ОЗ "Об образовании в Свердловской области", обеспеченных организованным горячим питанием, от общего количества обучающихся льготных категорий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2.7. Обеспечение проведения государственной итоговой аттестации по образовательным программам основного общего и среднего общего образования, единого государственного экзамена на территории Пышминского городского округа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2.7.9.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выпускников муниципальных общеобразовательных учреждений, не сдавших единый государственный экзамен в общей численности выпускников муниципальных общеобразовательных учреждений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 не сдавших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2.7.10.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тестовый бал по общеобразовательным предметам (физика, химия) выпускников 11 классов муниципальных образовательных организаций ХИМИЯ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тестовый бал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39,17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6 человек 2 ребенка не преодолели минимальный порог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2.7.10.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Средний тестовый бал по общеобразовательным предметам (физика, химия) выпускников 11 классов муниципальных образовательных </w:t>
            </w:r>
            <w:r>
              <w:rPr>
                <w:sz w:val="20"/>
                <w:szCs w:val="20"/>
              </w:rPr>
              <w:lastRenderedPageBreak/>
              <w:t>организаций ФИЗИКА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средний тестовый бал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58,83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140,1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2.8.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2.8. Обеспечение государственных гарантий прав граждан на получение общедоступного и бесплатного общего образования в муниципальных общеобразовательных организациях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2.8.11.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Соотношение уровня средней заработной платы педагогических работников, реализующих программы начального общего образования, основного общего и среднего общего образования  общеобразовательных организаций,  – 100% к прогнозному значению среднемесячного трудового дохода в Свердловской области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100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100,78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100,8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2.9.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2.9. Обеспечение педагогическими кадрами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2.9.12.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педагогических кадров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общеобразовательных</w:t>
            </w:r>
            <w:proofErr w:type="gramEnd"/>
            <w:r>
              <w:rPr>
                <w:sz w:val="20"/>
                <w:szCs w:val="20"/>
              </w:rPr>
              <w:t xml:space="preserve"> организаций прошедших обучение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2.23.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2.23. Обеспечение выплаты ежемесячного денежного вознаграждения за классное руководство педагогическим работникам общеобразовательных организаций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2.23.39.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Цель 11. Решение широкого спектра задач, направленных на развитие личности подростков путем правильного формирования духовных, нравственных ценностей и установления правильных социальных ориентиров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11.28.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11.28. "Обеспечение деятельности советников директора по воспитанию по воспитанию и взаимодействию с детскими общественными объединениями в общеобразовательных организациях"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11.28.54.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Свердловской области, муниципальных общеобразовательных организаций, расположенных на территории </w:t>
            </w:r>
            <w:r>
              <w:rPr>
                <w:sz w:val="20"/>
                <w:szCs w:val="20"/>
              </w:rPr>
              <w:lastRenderedPageBreak/>
              <w:t>Свердловской области"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Подпрограмма 3. Развитие системы дополнительного образования, отдыха и оздоровления детей в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Пышминском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городском округе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Цель 3. Обеспечение доступности качественных образовательных услуг в сфере дополнительного образования в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Пышминском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городском округе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3.10.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3.10. Развитие системы дополнительного образования детей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3.10.13.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детей в возрасте от 5 до 18 лет, обучающихся по дополнительным образовательным программам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117,2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3.10.14.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учреждений дополнительного образования, в которых созданы современные условия для предоставления услуги по дополнительному образованию детей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3.10.15.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Соотношение среднемесячной заработной платы педагогических работников муниципальных учреждений  дополнительного образования, - 100% к среднемесячной заработной плате учителей муниципальных образовательных организаций общего образования в муниципальном образовании 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100,14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100,1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3.10.36.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детей в возрасте от 5 до 18 лет, получающих дополнительное образование с использованием сертификата,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102,7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3.10.37.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5%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3.10.52.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лиц, прошедших спортивную подготовку и зачисленных на следующий этап спортивной подготовки от общего количества обучающихся занимающихся физической культурой и спортом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20,15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Выбытие ребенка </w:t>
            </w:r>
            <w:proofErr w:type="gramStart"/>
            <w:r>
              <w:rPr>
                <w:sz w:val="20"/>
                <w:szCs w:val="20"/>
              </w:rPr>
              <w:t>-с</w:t>
            </w:r>
            <w:proofErr w:type="gramEnd"/>
            <w:r>
              <w:rPr>
                <w:sz w:val="20"/>
                <w:szCs w:val="20"/>
              </w:rPr>
              <w:t>мена места жительства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3.10.53.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Выбытие ребенка </w:t>
            </w:r>
            <w:proofErr w:type="gramStart"/>
            <w:r>
              <w:rPr>
                <w:sz w:val="20"/>
                <w:szCs w:val="20"/>
              </w:rPr>
              <w:t>-с</w:t>
            </w:r>
            <w:proofErr w:type="gramEnd"/>
            <w:r>
              <w:rPr>
                <w:sz w:val="20"/>
                <w:szCs w:val="20"/>
              </w:rPr>
              <w:t>мена места жительства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Цель 4. Создание условий для сохранения здоровья и развития детей в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Пышминском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городском округе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4.11.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4.11. Совершенствование форм организации отдыха и оздоровления детей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4.11.16.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детей и подростков, получивших услуги по организации отдыха и оздоровления в санаторн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 xml:space="preserve"> курортных учреждениях, загородных детских оздоровительных лагерях, от общей численности детей школьного возраста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102,9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4.11.50.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отдыха отдельных категорий детей, проживающих на территории Свердловской области, в организациях отдыха детей и их оздоровления, расположенных на побережье Черного моря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Подпрограмма 4. Патриотическое воспитание граждан в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Пышминском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городском округе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Цель 5. Развитие системы патриотического воспитания граждан Пышминского городского округа, формирование у граждан патриотического сознания, верности Отечеству, готовности к выполнению конституционных обязанностей, гармонизация межнациональных и межконфессиональных отношений, профилактика экстремизма и укрепление толерантности, поддержка казачества на территории Пышминского городского округа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5.12.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Задача 5.12. Развитие инфраструктуры муниципальных образовательных организаций для организации патриотического воспитания граждан в </w:t>
            </w:r>
            <w:proofErr w:type="spellStart"/>
            <w:r>
              <w:rPr>
                <w:color w:val="000000"/>
                <w:sz w:val="20"/>
                <w:szCs w:val="20"/>
              </w:rPr>
              <w:t>Пышминском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городском округе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5.12.17.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муниципальных образовательных организаций, улучшивших учебно-материальные условия организации патриотического воспитания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5.13.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Задача 5.13. Модернизация содержания и форм патриотического воспитания как условие вовлечения широких масс граждан в </w:t>
            </w:r>
            <w:proofErr w:type="spellStart"/>
            <w:r>
              <w:rPr>
                <w:color w:val="000000"/>
                <w:sz w:val="20"/>
                <w:szCs w:val="20"/>
              </w:rPr>
              <w:t>Пышминском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городском округе в мероприятия историко-патриотической, героико-патриотической, военно-патриотической направленности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5.13.18.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муниципальных образовательных организаций, реализующих инновационные программы патриотической направленности и участвующих в конкурсах на получение грантов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5. Укрепление и развитие материально-технической базы образовательных организаций Пышминского городского округа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Цель 6. Приведение материально-технической базы образовательных организаций Пышминского городского округа в соответствие с современными требованиями к условиям реализации государственных образовательных стандартов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57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6.14.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6.14. Организация создания материально – технических условий для обеспечения деятельности муниципальных образовательных организаций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6.14.19.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зданий муниципальных образовательных организаций, требующих капитального ремонта, приведения в соответствие с требованиями пожарной безопасности и санитарного законодательства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6.14.20.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Доля муниципальных общеобразовательных организаций, в которых проведены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организациях, в текущем году, от общего количества муниципальных общеобразовательных организаций, в которых запланированы мероприятия, направленные на устранение нарушений, выявленных органами государственного надзора в результате проверок в муниципальных  общеобразовательных организациях.</w:t>
            </w:r>
            <w:proofErr w:type="gramEnd"/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6.15.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6.15. Обеспечение муниципальных образовательных организаций автобусами для подвоза обучающихся в целях обеспечения образовательного процесса в соответствии с требованиями безопасности перевозок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6.15.21.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обучающихся (воспитанников), обеспеченных услугой подвоза в муниципальные общеобразовательные учреждения, от общего количества обучающихся, нуждающихся в услуге подвоза в муниципальные общеобразовательные учреждения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6.16.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6.16. Обеспечение мероприятий по оборудованию спортивных площадок в общеобразовательных организациях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6.16.22.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спортивных площадок, оборудованных в общеобразовательных организациях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6.16.23.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общеобразовательных организаций, в которых обеспечено </w:t>
            </w:r>
            <w:r>
              <w:rPr>
                <w:sz w:val="20"/>
                <w:szCs w:val="20"/>
              </w:rPr>
              <w:lastRenderedPageBreak/>
              <w:t>оборудование спортивных площадок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65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6.16.24.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обучающихся общеобразовательных организаций, которым предоставлена возможность использования оборудованной  спортивной площадки для сдачи нормативов Всероссийского физкультурно-спортивного комплекса "Готов к труду и обороне!"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2096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2096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6.17.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6.17. Создание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6.17.25.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муниципальных общеобразовательных организаций, расположенных в сельской местности, в которых отремонтированы спортивные залы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Заявка не прошла отбор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6.17.51.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общеобразовательных организациях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Заявка не прошла отбор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6.18.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6.18. Создание в общеобразовательных организациях условий для успешной социализации детей с ограниченными возможностями здоровья и детей-инвалидов, а также детей-сирот и детей, оставшихся без попечения родителей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6.18.26.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общеобразовательных организаций, имеющих медицинские кабинеты, оснащенные необходимым медицинским оборудованием и прошедших лицензирование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6.18.27.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детей-инвалидов, получающих общее образование на дому в дистанционной форме, от общей численности детей-инвалидов, которым не противопоказано </w:t>
            </w:r>
            <w:proofErr w:type="gramStart"/>
            <w:r>
              <w:rPr>
                <w:sz w:val="20"/>
                <w:szCs w:val="20"/>
              </w:rPr>
              <w:t>обучение по</w:t>
            </w:r>
            <w:proofErr w:type="gramEnd"/>
            <w:r>
              <w:rPr>
                <w:sz w:val="20"/>
                <w:szCs w:val="20"/>
              </w:rPr>
              <w:t xml:space="preserve"> дистанционным технологиям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6. "Реализация комплексной программы Уральская инженерная школа"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Цель 7. "Развитие материально технических, учебно-методических условий реализации муниципальными образовательными организациями образовательных программ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естественно-научного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цикла 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профориентационной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работы"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7.19.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Задача 7.19. Модернизация материально технических, учебно-методических условий реализации муниципальных общеобразовательных организации, осуществляющих реализацию программ </w:t>
            </w:r>
            <w:proofErr w:type="gramStart"/>
            <w:r>
              <w:rPr>
                <w:color w:val="000000"/>
                <w:sz w:val="20"/>
                <w:szCs w:val="20"/>
              </w:rPr>
              <w:t>естественно-научного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цикла"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7.19.28.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созданных (модернизированных) кабинетов </w:t>
            </w:r>
            <w:r>
              <w:rPr>
                <w:sz w:val="20"/>
                <w:szCs w:val="20"/>
              </w:rPr>
              <w:lastRenderedPageBreak/>
              <w:t>естественно – научного цикла (нарастающим итогом)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76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7.19.29.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 (нарастающим итогом к 2018 году)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Подпрограмма 7. «Обеспечение реализации муниципальной программы Пышминского городского округа «Развитие системы образования в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Пышминском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городском округе до 2028 года»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Цель 8. Обеспечение мероприятий и поддержка в сфере образования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8.20.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8.20. Организация обеспечения муниципальных образовательных учреждений учебниками, вошедшими в федеральные перечни учебников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8.20.30.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общеобразовательных организаций, обеспеченных учебниками, вошедшими в федеральные перечни учебников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8.21.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8.21. Создание материально-технических условий для обеспечения деятельности муниципальных образовательных организаций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8.21.31.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реализованных мероприятий по обеспечению деятельности муниципальных образовательных организаций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8.22.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8.22. Обеспечение исполнения полномочий муниципального казенного учреждения Пышминского городского округа "Управление образования"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8.22.32.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аттестованных директоров образовательных организаций от числа директоров образовательных организаций подлежащих аттестации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аттестована директор МБОО ПГО "</w:t>
            </w:r>
            <w:proofErr w:type="spellStart"/>
            <w:r>
              <w:rPr>
                <w:sz w:val="20"/>
                <w:szCs w:val="20"/>
              </w:rPr>
              <w:t>Талицкая</w:t>
            </w:r>
            <w:proofErr w:type="spellEnd"/>
            <w:r>
              <w:rPr>
                <w:sz w:val="20"/>
                <w:szCs w:val="20"/>
              </w:rPr>
              <w:t xml:space="preserve"> НОШ"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8.22.33.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проведения муниципальных мероприятий в сфере образования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8.22.34.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муниципальных образовательных организаций, подведомственных Управлению образования Администрации Пышминского городского округа, в которых проведены контрольные мероприятия ведомственного финансового контроля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8.22.35.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мероприятий с участием </w:t>
            </w:r>
            <w:r>
              <w:rPr>
                <w:sz w:val="20"/>
                <w:szCs w:val="20"/>
              </w:rPr>
              <w:lastRenderedPageBreak/>
              <w:t>директоров общеобразовательных организаций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88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8. Молодежь Пышминского городского округа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Цель 9. Создание условий для успешной интеграции молодежи в общество, эффективно самореализации молодежи, направленной на раскрытие ее потенциала для дальнейшего развития Пышминского городского округа, Свердловской области и Российской Федерации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9.24.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9.24. "Развитие и поддержка созидательной активности, вовлечение молодежи в общественн</w:t>
            </w:r>
            <w:proofErr w:type="gramStart"/>
            <w:r>
              <w:rPr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политическую жизнь, формирование культуры здорового образа жизни в молодежной среде"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9.24.40.-.0.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молодых граждан в возрасте от 14 до 30 лет, регулярно участвующих в деятельности общественных объединений, различных формах общественного самоуправления, от общей численности молодых граждан в возрасте от 14 до 30 лет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145,7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9.24.41.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молодежи, принявшей участие в мероприятиях по приоритетным направлениям молодежной политики, от общего количества молодежи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185,7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9.24.42.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действующих молодежных представительных органов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9.25.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9.25. "Развитие организационно-содержательного и материально-технического обеспечения учреждений по работе с молодежью"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9.25.43.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созданных элементов инфраструктуры молодежной политики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9.25.44.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действующих молодежных </w:t>
            </w:r>
            <w:proofErr w:type="spellStart"/>
            <w:r>
              <w:rPr>
                <w:sz w:val="20"/>
                <w:szCs w:val="20"/>
              </w:rPr>
              <w:t>коворкин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центров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9. "Строительство зданий муниципальных образовательных организаций"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Цель 10. "Создание в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Пышминском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городском округе новых мест в общеобразовательных организациях в соответствии с прогнозируемой потребностью и современными требованиями к условиям обучения"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10.26.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10.26. Строительство начальной школы на 400 мест МБОУ ПГО "</w:t>
            </w:r>
            <w:proofErr w:type="spellStart"/>
            <w:r>
              <w:rPr>
                <w:color w:val="000000"/>
                <w:sz w:val="20"/>
                <w:szCs w:val="20"/>
              </w:rPr>
              <w:t>Пышминская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средняя общеобразовательная школа" по адресу: Свердловская обл.,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>. Пышма, ул. Куйбышева,39;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10.26.45.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созданных мест в муниципальных дневных общеобразовательных организациях, расположенных на территории Пышминского городского округа, в том числе число мест, созданных путем строительства новых зданий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579C4" w:rsidTr="007579C4">
        <w:tc>
          <w:tcPr>
            <w:tcW w:w="90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020" w:type="dxa"/>
            <w:shd w:val="clear" w:color="000000" w:fill="FFFFFF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10.27.</w:t>
            </w:r>
          </w:p>
        </w:tc>
        <w:tc>
          <w:tcPr>
            <w:tcW w:w="13047" w:type="dxa"/>
            <w:gridSpan w:val="6"/>
            <w:shd w:val="clear" w:color="000000" w:fill="FFFFFF"/>
            <w:vAlign w:val="center"/>
            <w:hideMark/>
          </w:tcPr>
          <w:p w:rsidR="007579C4" w:rsidRDefault="007579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Задача 10.27. "Осуществление вложений инвестиций в объекты общественной инфраструктуры муниципального значения, обеспечивающие решение </w:t>
            </w:r>
            <w:r>
              <w:rPr>
                <w:color w:val="000000"/>
                <w:sz w:val="20"/>
                <w:szCs w:val="20"/>
              </w:rPr>
              <w:lastRenderedPageBreak/>
              <w:t>вопросов местного значения в сфере образования"</w:t>
            </w:r>
          </w:p>
        </w:tc>
      </w:tr>
      <w:tr w:rsidR="007579C4" w:rsidTr="007579C4">
        <w:tc>
          <w:tcPr>
            <w:tcW w:w="90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1020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10.27.46.</w:t>
            </w:r>
          </w:p>
        </w:tc>
        <w:tc>
          <w:tcPr>
            <w:tcW w:w="3882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Удельный вес численности </w:t>
            </w:r>
            <w:proofErr w:type="gramStart"/>
            <w:r>
              <w:rPr>
                <w:sz w:val="20"/>
                <w:szCs w:val="20"/>
              </w:rPr>
              <w:t>обучающихся</w:t>
            </w:r>
            <w:proofErr w:type="gramEnd"/>
            <w:r>
              <w:rPr>
                <w:sz w:val="20"/>
                <w:szCs w:val="20"/>
              </w:rPr>
              <w:t>, занимающихся в одну смену, в общей численности обучающихся</w:t>
            </w:r>
          </w:p>
        </w:tc>
        <w:tc>
          <w:tcPr>
            <w:tcW w:w="140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12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76,53</w:t>
            </w:r>
          </w:p>
        </w:tc>
        <w:tc>
          <w:tcPr>
            <w:tcW w:w="1661" w:type="dxa"/>
            <w:shd w:val="clear" w:color="auto" w:fill="auto"/>
            <w:hideMark/>
          </w:tcPr>
          <w:p w:rsidR="007579C4" w:rsidRDefault="007579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</w:t>
            </w:r>
          </w:p>
        </w:tc>
        <w:tc>
          <w:tcPr>
            <w:tcW w:w="1821" w:type="dxa"/>
            <w:shd w:val="clear" w:color="auto" w:fill="auto"/>
            <w:hideMark/>
          </w:tcPr>
          <w:p w:rsidR="007579C4" w:rsidRDefault="00757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школа не введена в эксплуатацию (Планируется ввод в эксплуатацию в марте 2025 года)</w:t>
            </w:r>
          </w:p>
        </w:tc>
      </w:tr>
    </w:tbl>
    <w:p w:rsidR="007579C4" w:rsidRDefault="007579C4" w:rsidP="007579C4">
      <w:pPr>
        <w:spacing w:after="0" w:line="240" w:lineRule="auto"/>
      </w:pPr>
    </w:p>
    <w:tbl>
      <w:tblPr>
        <w:tblW w:w="149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020"/>
        <w:gridCol w:w="3880"/>
        <w:gridCol w:w="1400"/>
        <w:gridCol w:w="2120"/>
        <w:gridCol w:w="2160"/>
        <w:gridCol w:w="1660"/>
        <w:gridCol w:w="1820"/>
      </w:tblGrid>
      <w:tr w:rsidR="007579C4" w:rsidTr="007579C4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79C4" w:rsidRDefault="00757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79C4" w:rsidRDefault="00757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79C4" w:rsidRDefault="00757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79C4" w:rsidRDefault="00757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79C4" w:rsidRDefault="00757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79C4" w:rsidRDefault="00757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79C4" w:rsidRDefault="00757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579C4" w:rsidRDefault="00757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9C4" w:rsidTr="007579C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79C4" w:rsidRDefault="00757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79C4" w:rsidRDefault="00757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79C4" w:rsidRDefault="00757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79C4" w:rsidRDefault="00757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79C4" w:rsidRDefault="00757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79C4" w:rsidRDefault="00757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79C4" w:rsidRDefault="00757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79C4" w:rsidRDefault="00757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9C4" w:rsidTr="007579C4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79C4" w:rsidRDefault="007579C4">
            <w:pPr>
              <w:rPr>
                <w:sz w:val="22"/>
              </w:rPr>
            </w:pPr>
            <w:r>
              <w:rPr>
                <w:sz w:val="22"/>
              </w:rPr>
              <w:t>Ответственный исполнитель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79C4" w:rsidRDefault="007579C4">
            <w:pPr>
              <w:rPr>
                <w:sz w:val="22"/>
              </w:rPr>
            </w:pPr>
            <w:r>
              <w:rPr>
                <w:sz w:val="22"/>
              </w:rPr>
              <w:t>_______________ /___________________________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79C4" w:rsidRDefault="00757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79C4" w:rsidRDefault="00757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9C4" w:rsidTr="007579C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79C4" w:rsidRDefault="007579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79C4" w:rsidRDefault="007579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79C4" w:rsidRDefault="007579C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79C4" w:rsidRDefault="00757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(подпись)                             (расшифровка 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79C4" w:rsidRDefault="00757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579C4" w:rsidRDefault="00757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579C4" w:rsidRDefault="007579C4" w:rsidP="007579C4">
      <w:pPr>
        <w:spacing w:after="0" w:line="240" w:lineRule="auto"/>
      </w:pPr>
    </w:p>
    <w:sectPr w:rsidR="007579C4" w:rsidSect="007579C4">
      <w:pgSz w:w="16838" w:h="11906" w:orient="landscape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9C4"/>
    <w:rsid w:val="007579C4"/>
    <w:rsid w:val="00C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2930</Words>
  <Characters>16707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2025-01-22T11:37:00Z</dcterms:created>
  <dcterms:modified xsi:type="dcterms:W3CDTF">2025-01-22T11:38:00Z</dcterms:modified>
</cp:coreProperties>
</file>