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E2" w:rsidRDefault="00607BE2" w:rsidP="00607BE2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>ТИПОВАЯ ФОРМА</w:t>
      </w:r>
    </w:p>
    <w:p w:rsidR="00607BE2" w:rsidRDefault="00607BE2" w:rsidP="00607BE2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 xml:space="preserve">публичной отчетности органов местного самоуправления Пышминского городского округа о ходе достижения показателей, содержащихся в указах Президента Российской Федерации </w:t>
      </w:r>
    </w:p>
    <w:p w:rsidR="00607BE2" w:rsidRDefault="00607BE2" w:rsidP="00607BE2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 xml:space="preserve">от </w:t>
      </w:r>
      <w:r>
        <w:rPr>
          <w:rStyle w:val="FontStyle83"/>
        </w:rPr>
        <w:t xml:space="preserve">7 </w:t>
      </w:r>
      <w:r>
        <w:rPr>
          <w:rStyle w:val="FontStyle82"/>
          <w:rFonts w:eastAsiaTheme="majorEastAsia"/>
        </w:rPr>
        <w:t xml:space="preserve">мая 2012 г. № 596-601, 606 </w:t>
      </w:r>
    </w:p>
    <w:p w:rsidR="00607BE2" w:rsidRDefault="001E7A12" w:rsidP="00607BE2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>за январь - декабрь</w:t>
      </w:r>
      <w:r w:rsidR="0002202E">
        <w:rPr>
          <w:rStyle w:val="FontStyle82"/>
          <w:rFonts w:eastAsiaTheme="majorEastAsia"/>
        </w:rPr>
        <w:t xml:space="preserve"> 2018</w:t>
      </w:r>
      <w:r w:rsidR="00607BE2">
        <w:rPr>
          <w:rStyle w:val="FontStyle82"/>
          <w:rFonts w:eastAsiaTheme="majorEastAsia"/>
        </w:rPr>
        <w:t xml:space="preserve"> года</w:t>
      </w:r>
    </w:p>
    <w:p w:rsidR="00607BE2" w:rsidRDefault="00607BE2" w:rsidP="00607BE2">
      <w:pPr>
        <w:ind w:left="10620"/>
        <w:rPr>
          <w:rStyle w:val="FontStyle82"/>
          <w:b w:val="0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848"/>
        <w:gridCol w:w="2923"/>
        <w:gridCol w:w="1088"/>
        <w:gridCol w:w="1700"/>
        <w:gridCol w:w="1147"/>
        <w:gridCol w:w="1545"/>
        <w:gridCol w:w="1243"/>
        <w:gridCol w:w="1205"/>
        <w:gridCol w:w="965"/>
        <w:gridCol w:w="1166"/>
      </w:tblGrid>
      <w:tr w:rsidR="00607BE2" w:rsidTr="00607BE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Style w:val="FontStyle93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FontStyle93"/>
                <w:sz w:val="20"/>
                <w:szCs w:val="20"/>
              </w:rPr>
              <w:t>/</w:t>
            </w:r>
            <w:proofErr w:type="spellStart"/>
            <w:r>
              <w:rPr>
                <w:rStyle w:val="FontStyle9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№ Указа Президента Российской Федерации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Отчетная дата (период) значения показателя </w:t>
            </w:r>
          </w:p>
          <w:p w:rsidR="00607BE2" w:rsidRDefault="00607BE2">
            <w:pPr>
              <w:jc w:val="center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(</w:t>
            </w:r>
            <w:r>
              <w:rPr>
                <w:rStyle w:val="FontStyle93"/>
                <w:sz w:val="20"/>
                <w:szCs w:val="20"/>
                <w:lang w:val="en-US"/>
              </w:rPr>
              <w:t>N</w:t>
            </w:r>
            <w:r>
              <w:rPr>
                <w:rStyle w:val="FontStyle93"/>
                <w:sz w:val="20"/>
                <w:szCs w:val="20"/>
              </w:rPr>
              <w:t>)</w:t>
            </w:r>
          </w:p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Примечание</w:t>
            </w: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целевое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Плановое</w:t>
            </w:r>
          </w:p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на </w:t>
            </w:r>
            <w:r w:rsidR="001E7A12">
              <w:rPr>
                <w:rStyle w:val="FontStyle93"/>
                <w:sz w:val="20"/>
                <w:szCs w:val="20"/>
              </w:rPr>
              <w:t>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Фактическое</w:t>
            </w:r>
          </w:p>
          <w:p w:rsidR="00607BE2" w:rsidRDefault="001E7A1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за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отклонение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607BE2" w:rsidTr="00607BE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 Президента РФ от 07 мая 2012 года  № 596 </w:t>
            </w:r>
            <w:r>
              <w:rPr>
                <w:b/>
                <w:sz w:val="20"/>
                <w:szCs w:val="20"/>
              </w:rPr>
              <w:t>« О долгосрочной государственной экономической политике»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022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 w:rsidP="00022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2202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022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022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инвестиций не менее чем до 25% внутреннего валового продукта к 2015 году и до 27%-к 2018 году    (420 млн.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022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07BE2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022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1E7A12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8C0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  <w:r w:rsidR="001E7A12">
              <w:rPr>
                <w:sz w:val="20"/>
                <w:szCs w:val="20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8C0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-32*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производительности труда к 2018 году в 1,5 раза относительно уровня 2011 года</w:t>
            </w:r>
          </w:p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(1022 тыс.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607BE2">
              <w:rPr>
                <w:sz w:val="20"/>
                <w:szCs w:val="20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8C0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-22*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17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РФ от 07 мая 2012 года  № 597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 О  мероприятиях  по реализации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государствен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ной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социальной политики»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C7D">
              <w:rPr>
                <w:sz w:val="20"/>
                <w:szCs w:val="20"/>
              </w:rPr>
              <w:t>3247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C7D">
              <w:rPr>
                <w:sz w:val="20"/>
                <w:szCs w:val="20"/>
              </w:rPr>
              <w:t>3247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C7D">
              <w:rPr>
                <w:sz w:val="20"/>
                <w:szCs w:val="20"/>
              </w:rPr>
              <w:t>4068,06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8C0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Pr="00A02FA9" w:rsidRDefault="008C0C7D" w:rsidP="008C0C7D">
            <w:pPr>
              <w:pStyle w:val="a8"/>
              <w:jc w:val="both"/>
              <w:rPr>
                <w:rFonts w:eastAsiaTheme="minorEastAsia"/>
              </w:rPr>
            </w:pPr>
            <w:r w:rsidRPr="00A02FA9">
              <w:rPr>
                <w:rFonts w:eastAsiaTheme="minorEastAsia"/>
              </w:rPr>
              <w:t>Увеличение педагогической нагрузки</w:t>
            </w: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Отношение средней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заработной платы педагогических работников образовательных учреждений общего образования к средней заработной плате по Свердловской области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образования Администрации Пышминского городского округа, руководители образовательных учреждений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январь- </w:t>
            </w:r>
            <w:r w:rsidR="00B0130D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8C0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8C0C7D"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Pr="00A02FA9" w:rsidRDefault="00A02FA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  <w:r w:rsidRPr="00A02FA9">
              <w:rPr>
                <w:sz w:val="20"/>
                <w:szCs w:val="20"/>
              </w:rPr>
              <w:t>Увеличени</w:t>
            </w:r>
            <w:r w:rsidRPr="00A02FA9">
              <w:rPr>
                <w:sz w:val="20"/>
                <w:szCs w:val="20"/>
              </w:rPr>
              <w:lastRenderedPageBreak/>
              <w:t>е педагогической нагрузки</w:t>
            </w: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30814,9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30814,9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31014,83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отпускных</w:t>
            </w: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ind w:left="48" w:hanging="48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отпускных</w:t>
            </w: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2FA9">
              <w:rPr>
                <w:sz w:val="20"/>
                <w:szCs w:val="20"/>
              </w:rPr>
              <w:t>4371,01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34371,01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2FA9">
              <w:rPr>
                <w:sz w:val="20"/>
                <w:szCs w:val="20"/>
              </w:rPr>
              <w:t>4385,13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дополнительного образования детей </w:t>
            </w:r>
          </w:p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средней заработной плате учителей в субъекте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 средней заработной платы  работников учреждений  </w:t>
            </w:r>
            <w:r>
              <w:rPr>
                <w:sz w:val="20"/>
                <w:szCs w:val="20"/>
              </w:rPr>
              <w:lastRenderedPageBreak/>
              <w:t>культуры Пышминского городского округа на конец года</w:t>
            </w:r>
          </w:p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</w:t>
            </w:r>
            <w:r>
              <w:rPr>
                <w:sz w:val="20"/>
                <w:szCs w:val="20"/>
              </w:rPr>
              <w:lastRenderedPageBreak/>
              <w:t>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2FA9">
              <w:rPr>
                <w:sz w:val="20"/>
                <w:szCs w:val="20"/>
              </w:rPr>
              <w:t>3874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2FA9">
              <w:rPr>
                <w:sz w:val="20"/>
                <w:szCs w:val="20"/>
              </w:rPr>
              <w:t>4074,2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A0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средней заработной платы работников культуры к средней заработной плате по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1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оборудованных (оснащенных) рабочих мест для трудоустройства инвалидов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занятости населения в Пышминском городском округе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14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Федерации от 7 мая 2012 г. № 598 </w:t>
            </w:r>
            <w:r>
              <w:rPr>
                <w:b/>
                <w:color w:val="000000"/>
                <w:sz w:val="20"/>
                <w:szCs w:val="20"/>
              </w:rPr>
              <w:t>«О совершенствовании государственной политики в сфере здравоохранения»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  до 649,4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A02FA9">
              <w:rPr>
                <w:bCs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  <w:p w:rsidR="00607BE2" w:rsidRDefault="00A02F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293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FF0000"/>
                <w:sz w:val="20"/>
                <w:szCs w:val="20"/>
              </w:rPr>
            </w:pPr>
          </w:p>
          <w:p w:rsidR="00607BE2" w:rsidRDefault="00607BE2">
            <w:pPr>
              <w:rPr>
                <w:color w:val="FF0000"/>
                <w:sz w:val="20"/>
                <w:szCs w:val="20"/>
              </w:rPr>
            </w:pPr>
          </w:p>
          <w:p w:rsidR="00607BE2" w:rsidRDefault="00293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FF0000"/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злокачественных) до 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192,</w:t>
            </w:r>
            <w:r w:rsidR="00293C9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52C23">
              <w:rPr>
                <w:color w:val="000000"/>
                <w:sz w:val="20"/>
                <w:szCs w:val="20"/>
              </w:rPr>
              <w:t>92,</w:t>
            </w:r>
            <w:r w:rsidR="00293C9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07BE2" w:rsidRDefault="00293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  <w:p w:rsidR="00607BE2" w:rsidRDefault="00293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 до 11,8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293C9E">
              <w:rPr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293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293C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293C9E" w:rsidP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дорожно-транспортных происшествий </w:t>
            </w:r>
            <w:r>
              <w:rPr>
                <w:bCs/>
                <w:color w:val="000000"/>
                <w:sz w:val="20"/>
                <w:szCs w:val="20"/>
              </w:rPr>
              <w:t>до 10,6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293C9E">
              <w:rPr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293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93C9E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3C9E">
              <w:rPr>
                <w:sz w:val="20"/>
                <w:szCs w:val="20"/>
              </w:rPr>
              <w:t>5,2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младенческой смертности </w:t>
            </w:r>
            <w:r>
              <w:rPr>
                <w:bCs/>
                <w:color w:val="000000"/>
                <w:sz w:val="20"/>
                <w:szCs w:val="20"/>
              </w:rPr>
              <w:t>до 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1000 родив</w:t>
            </w:r>
          </w:p>
          <w:p w:rsidR="00607BE2" w:rsidRDefault="00607BE2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spellStart"/>
            <w:r>
              <w:rPr>
                <w:rStyle w:val="FontStyle89"/>
                <w:sz w:val="20"/>
                <w:szCs w:val="20"/>
              </w:rPr>
              <w:t>шихся</w:t>
            </w:r>
            <w:proofErr w:type="spellEnd"/>
            <w:r>
              <w:rPr>
                <w:rStyle w:val="FontStyle89"/>
                <w:sz w:val="20"/>
                <w:szCs w:val="20"/>
              </w:rPr>
              <w:t xml:space="preserve"> живыми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842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84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Указ Президента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Российской Федерации от </w:t>
            </w:r>
            <w:r>
              <w:rPr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bCs/>
                  <w:sz w:val="20"/>
                  <w:szCs w:val="20"/>
                </w:rPr>
                <w:t>2012 г</w:t>
              </w:r>
            </w:smartTag>
            <w:r>
              <w:rPr>
                <w:b/>
                <w:bCs/>
                <w:sz w:val="20"/>
                <w:szCs w:val="20"/>
              </w:rPr>
              <w:t>. 599 «О мерах по реализации государственной политики в области образования и науки»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gramStart"/>
            <w:r>
              <w:rPr>
                <w:rStyle w:val="FontStyle89"/>
                <w:sz w:val="20"/>
                <w:szCs w:val="20"/>
              </w:rPr>
              <w:lastRenderedPageBreak/>
              <w:t xml:space="preserve">Доступность дошкольного </w:t>
            </w:r>
            <w:r>
              <w:rPr>
                <w:rStyle w:val="FontStyle89"/>
                <w:sz w:val="20"/>
                <w:szCs w:val="20"/>
              </w:rPr>
              <w:lastRenderedPageBreak/>
              <w:t>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январь- </w:t>
            </w:r>
            <w:r w:rsidR="00B0130D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62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ind w:left="10" w:hanging="10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13B62">
              <w:rPr>
                <w:sz w:val="20"/>
                <w:szCs w:val="20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13B62"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 w:rsidP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13B62">
              <w:rPr>
                <w:sz w:val="20"/>
                <w:szCs w:val="20"/>
              </w:rPr>
              <w:t>0,7</w:t>
            </w:r>
            <w:r w:rsidR="00607BE2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441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 Президента Российской Федерации от 7 мая 2012 г. № 600 </w:t>
            </w:r>
            <w:r>
              <w:rPr>
                <w:b/>
                <w:sz w:val="20"/>
                <w:szCs w:val="20"/>
              </w:rPr>
              <w:t>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к 2017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ind w:left="34"/>
              <w:rPr>
                <w:sz w:val="20"/>
                <w:szCs w:val="20"/>
              </w:rPr>
            </w:pPr>
            <w:proofErr w:type="gramStart"/>
            <w:r>
              <w:rPr>
                <w:rStyle w:val="FontStyle89"/>
                <w:sz w:val="20"/>
                <w:szCs w:val="20"/>
              </w:rPr>
              <w:t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улучшения жилищных условий не реже одного раза в 15 лет)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4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</w:p>
          <w:p w:rsidR="00607BE2" w:rsidRDefault="00607BE2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(Снижение стоимости одного кв.м. жилья на 20 % путем увеличения объема ввода в эксплуатацию жилья экономического класса)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рублей, в процентах к 2011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1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ind w:right="326" w:firstLine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Объем ввода жилья по стандартам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  <w:r>
              <w:rPr>
                <w:rStyle w:val="FontStyle89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Увеличение не менее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кв.м., в процентах к 2011 году (5.561, в т.ч. 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-0.285)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не менее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4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pStyle w:val="Style62"/>
              <w:widowControl/>
              <w:spacing w:line="240" w:lineRule="auto"/>
              <w:ind w:right="158" w:firstLine="10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607BE2" w:rsidRDefault="00607BE2">
            <w:pPr>
              <w:pStyle w:val="Style62"/>
              <w:widowControl/>
              <w:spacing w:line="240" w:lineRule="auto"/>
              <w:ind w:right="158" w:firstLine="24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(Предоставление доступного и комфортного жилья 60 процентам российских семей, желающих улучшить свои жилищные условия к 2018 году)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8"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rStyle w:val="FontStyle89"/>
                <w:sz w:val="20"/>
                <w:szCs w:val="20"/>
              </w:rPr>
              <w:t xml:space="preserve">7 </w:t>
            </w:r>
            <w:r>
              <w:rPr>
                <w:rStyle w:val="FontStyle88"/>
                <w:sz w:val="20"/>
                <w:szCs w:val="20"/>
              </w:rPr>
              <w:t>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государственных и муниципальных услуг  к </w:t>
            </w:r>
            <w:r>
              <w:rPr>
                <w:sz w:val="20"/>
                <w:szCs w:val="20"/>
              </w:rPr>
              <w:t>2018 г.</w:t>
            </w:r>
          </w:p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07BE2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07BE2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07BE2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имеющих доступ к получению государственных услуг по принципу "одного окна" по месту пребывания, в том числе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в многофункциональных центрах предоставления государственных и муниципальных услуг к  </w:t>
            </w:r>
            <w:r>
              <w:rPr>
                <w:sz w:val="20"/>
                <w:szCs w:val="20"/>
              </w:rPr>
              <w:t>2015 г.</w:t>
            </w:r>
          </w:p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</w:t>
            </w:r>
            <w:r>
              <w:rPr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использующих механизм получения государственных и муниципальных услуг в электронной форме к </w:t>
            </w:r>
            <w:r>
              <w:rPr>
                <w:sz w:val="20"/>
                <w:szCs w:val="20"/>
              </w:rPr>
              <w:t>2018 г.</w:t>
            </w:r>
          </w:p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Среднее число обращений представителей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бизнес-сообщества</w:t>
            </w:r>
            <w:proofErr w:type="spellEnd"/>
            <w:proofErr w:type="gramEnd"/>
            <w:r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rPr>
          <w:trHeight w:val="10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88"/>
                <w:color w:val="000000"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rStyle w:val="FontStyle89"/>
                <w:color w:val="000000"/>
                <w:sz w:val="20"/>
                <w:szCs w:val="20"/>
              </w:rPr>
              <w:t xml:space="preserve">7 </w:t>
            </w:r>
            <w:r>
              <w:rPr>
                <w:rStyle w:val="FontStyle88"/>
                <w:color w:val="000000"/>
                <w:sz w:val="20"/>
                <w:szCs w:val="20"/>
              </w:rPr>
              <w:t>мая 2012 г. № 606 «О мерах по реализации демографической политики РФ»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коэффициент рождаемости</w:t>
            </w:r>
          </w:p>
          <w:p w:rsidR="00607BE2" w:rsidRDefault="00607BE2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13B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3A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07BE2" w:rsidTr="00607BE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 </w:t>
            </w:r>
            <w:r w:rsidR="00B0130D">
              <w:rPr>
                <w:sz w:val="20"/>
                <w:szCs w:val="2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3A12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607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3A12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B01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A12A8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E2" w:rsidRDefault="003A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E2" w:rsidRDefault="00607BE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A2FAF" w:rsidRDefault="003A2FAF"/>
    <w:sectPr w:rsidR="003A2FAF" w:rsidSect="00607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07BE2"/>
    <w:rsid w:val="0002202E"/>
    <w:rsid w:val="001068F0"/>
    <w:rsid w:val="001D6C37"/>
    <w:rsid w:val="001E7A12"/>
    <w:rsid w:val="00293C9E"/>
    <w:rsid w:val="003A12A8"/>
    <w:rsid w:val="003A2FAF"/>
    <w:rsid w:val="00452C23"/>
    <w:rsid w:val="00607BE2"/>
    <w:rsid w:val="00613B62"/>
    <w:rsid w:val="006A2EAC"/>
    <w:rsid w:val="00784817"/>
    <w:rsid w:val="008400E4"/>
    <w:rsid w:val="0084298E"/>
    <w:rsid w:val="00843FC4"/>
    <w:rsid w:val="008C0C7D"/>
    <w:rsid w:val="009740E7"/>
    <w:rsid w:val="00A02FA9"/>
    <w:rsid w:val="00A62AFD"/>
    <w:rsid w:val="00A71772"/>
    <w:rsid w:val="00B0130D"/>
    <w:rsid w:val="00CD0833"/>
    <w:rsid w:val="00D73437"/>
    <w:rsid w:val="00E82A04"/>
    <w:rsid w:val="00F9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E2"/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customStyle="1" w:styleId="Style62">
    <w:name w:val="Style62"/>
    <w:basedOn w:val="a"/>
    <w:uiPriority w:val="99"/>
    <w:rsid w:val="00607BE2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07BE2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07BE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07BE2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607BE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2">
    <w:name w:val="Font Style82"/>
    <w:uiPriority w:val="99"/>
    <w:rsid w:val="00607BE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9">
    <w:name w:val="Font Style89"/>
    <w:uiPriority w:val="99"/>
    <w:rsid w:val="00607BE2"/>
    <w:rPr>
      <w:rFonts w:ascii="Times New Roman" w:hAnsi="Times New Roman" w:cs="Times New Roman" w:hint="default"/>
      <w:sz w:val="24"/>
      <w:szCs w:val="24"/>
    </w:rPr>
  </w:style>
  <w:style w:type="character" w:customStyle="1" w:styleId="FontStyle83">
    <w:name w:val="Font Style83"/>
    <w:uiPriority w:val="99"/>
    <w:rsid w:val="00607B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3">
    <w:name w:val="Font Style93"/>
    <w:uiPriority w:val="99"/>
    <w:rsid w:val="00607BE2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E7E54-EA3A-44FE-A0A8-730E2005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12</cp:revision>
  <cp:lastPrinted>2018-01-12T06:14:00Z</cp:lastPrinted>
  <dcterms:created xsi:type="dcterms:W3CDTF">2018-01-12T05:32:00Z</dcterms:created>
  <dcterms:modified xsi:type="dcterms:W3CDTF">2019-01-11T05:56:00Z</dcterms:modified>
</cp:coreProperties>
</file>